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1D0" w:rsidRDefault="005A41D0">
      <w:pPr>
        <w:spacing w:line="1" w:lineRule="exact"/>
      </w:pPr>
    </w:p>
    <w:p w:rsidR="005A41D0" w:rsidRDefault="000A4BC5">
      <w:pPr>
        <w:pStyle w:val="20"/>
        <w:framePr w:w="10598" w:h="5155" w:hRule="exact" w:wrap="none" w:vAnchor="page" w:hAnchor="page" w:x="1086" w:y="1462"/>
        <w:jc w:val="both"/>
      </w:pPr>
      <w:r>
        <w:t>** Указывается: ДП-В - доступно полностью всем; ДП-И (К, О, С, Г, У) - доступно полностью избирательно (указать категории инвалидов); ДЧ-В - доступно частично всем; ДЧ-И (К, О, С, Г, У) - доступно частично избирательно (указать категории инвалидов); ДУ - доступно условно, ВНД - временно недоступно</w:t>
      </w:r>
    </w:p>
    <w:p w:rsidR="005A41D0" w:rsidRDefault="000A4BC5">
      <w:pPr>
        <w:pStyle w:val="1"/>
        <w:framePr w:w="10598" w:h="5155" w:hRule="exact" w:wrap="none" w:vAnchor="page" w:hAnchor="page" w:x="1086" w:y="1462"/>
        <w:jc w:val="both"/>
      </w:pPr>
      <w:r>
        <w:rPr>
          <w:b/>
          <w:bCs/>
          <w:u w:val="none"/>
        </w:rPr>
        <w:t xml:space="preserve">3.5. ИТОГОВОЕ ЗАКЛЮЧЕНИЕ о состоянии доступности ОСИ: </w:t>
      </w:r>
      <w:r>
        <w:t>Данный ОСИ имеет низкую оценку состояния доступности для инвалидов и маломобильных групп населения. На пути следования к объекту отсутствует тротуар, вследствие чего путь проходит по проезжей части дороги. Информация на пути следования к объекту, а также прилегающей территории отсутствует. Нет системы связи на всех зонах. Покрытие прилегающей территории частично отсутствует, остальная часть значительна изношена. Нет стоянки для автомобилей с обозначенным местом для инвалидов. Прилегающая территория не достаточно освещена. Центральный вход в здание не соответствует нормам доступности маломобильных групп населения (отметка уровня входного тамбура ниже отметки подхода (земли). Диаметр поворотной зоны наружной входной площадки не соответствует нормам (менее 2,2 м.) Санитарно - гигиенические помещения не соответствует нормам доступности инвалидов и маломобильных групп. Визуальные, акустические, тактильные средства и устройства информации отсутствуют.</w:t>
      </w:r>
    </w:p>
    <w:p w:rsidR="005A41D0" w:rsidRDefault="000A4BC5">
      <w:pPr>
        <w:pStyle w:val="1"/>
        <w:framePr w:w="10598" w:h="5155" w:hRule="exact" w:wrap="none" w:vAnchor="page" w:hAnchor="page" w:x="1086" w:y="1462"/>
        <w:spacing w:after="0"/>
        <w:jc w:val="center"/>
      </w:pPr>
      <w:r>
        <w:rPr>
          <w:b/>
          <w:bCs/>
          <w:u w:val="none"/>
        </w:rPr>
        <w:t>4. Управленческое решение</w:t>
      </w:r>
    </w:p>
    <w:p w:rsidR="005A41D0" w:rsidRDefault="000A4BC5">
      <w:pPr>
        <w:pStyle w:val="a5"/>
        <w:framePr w:wrap="none" w:vAnchor="page" w:hAnchor="page" w:x="1173" w:y="7131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4.1. Рекомендации по адаптации основных структурных элементов объекта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686"/>
        <w:gridCol w:w="5362"/>
        <w:gridCol w:w="3810"/>
        <w:gridCol w:w="744"/>
      </w:tblGrid>
      <w:tr w:rsidR="005A41D0">
        <w:trPr>
          <w:trHeight w:hRule="exact" w:val="103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1D0" w:rsidRDefault="005A41D0" w:rsidP="00751C6B">
            <w:pPr>
              <w:pStyle w:val="a7"/>
              <w:framePr w:w="10598" w:h="4709" w:wrap="none" w:vAnchor="page" w:hAnchor="page" w:x="1086" w:y="7659"/>
              <w:spacing w:after="0"/>
            </w:pPr>
          </w:p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jc w:val="center"/>
            </w:pPr>
            <w:r>
              <w:rPr>
                <w:u w:val="none"/>
              </w:rPr>
              <w:t xml:space="preserve">№ п 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jc w:val="center"/>
            </w:pPr>
            <w:r>
              <w:rPr>
                <w:b/>
                <w:bCs/>
                <w:u w:val="none"/>
              </w:rPr>
              <w:t>Основные структурно-функциональные зоны объекта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jc w:val="center"/>
            </w:pPr>
            <w:r>
              <w:rPr>
                <w:b/>
                <w:bCs/>
                <w:u w:val="none"/>
              </w:rPr>
              <w:t>Рекомендации по адаптации объекта (вид работы)*</w:t>
            </w:r>
          </w:p>
        </w:tc>
        <w:tc>
          <w:tcPr>
            <w:tcW w:w="74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  <w:rPr>
                <w:sz w:val="10"/>
                <w:szCs w:val="10"/>
              </w:rPr>
            </w:pPr>
          </w:p>
        </w:tc>
      </w:tr>
      <w:tr w:rsidR="005A41D0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Территория, прилегающая к зданию (участок)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jc w:val="center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Вход (входы) в здание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56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Путь (пути) движения внутри здания (в т.ч. пути эвакуации)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53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 w:line="233" w:lineRule="auto"/>
            </w:pPr>
            <w:r>
              <w:rPr>
                <w:u w:val="none"/>
              </w:rPr>
              <w:t>Зона целевого назначения здания (целевого посещения объекта)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29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Санитарно-гигиенические помещения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28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Система информации на объекте (на всех зонах)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5A41D0">
        <w:trPr>
          <w:trHeight w:hRule="exact" w:val="57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Пути движения к объекту (от остановки транспорта)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A41D0" w:rsidRDefault="000A4BC5" w:rsidP="00751C6B">
            <w:pPr>
              <w:pStyle w:val="a7"/>
              <w:framePr w:w="10598" w:h="4709" w:wrap="none" w:vAnchor="page" w:hAnchor="page" w:x="1086" w:y="7659"/>
              <w:spacing w:after="0"/>
              <w:ind w:firstLine="160"/>
            </w:pPr>
            <w:r>
              <w:t>Индивидуальное решение с TCP</w:t>
            </w:r>
          </w:p>
        </w:tc>
        <w:tc>
          <w:tcPr>
            <w:tcW w:w="7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A41D0" w:rsidRDefault="005A41D0" w:rsidP="00751C6B">
            <w:pPr>
              <w:framePr w:w="10598" w:h="4709" w:wrap="none" w:vAnchor="page" w:hAnchor="page" w:x="1086" w:y="7659"/>
            </w:pPr>
          </w:p>
        </w:tc>
      </w:tr>
      <w:tr w:rsidR="00751C6B" w:rsidTr="00751C6B">
        <w:trPr>
          <w:trHeight w:hRule="exact" w:val="85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C6B" w:rsidRDefault="00751C6B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u w:val="none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1C6B" w:rsidRDefault="00751C6B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rPr>
                <w:b/>
                <w:bCs/>
                <w:u w:val="none"/>
              </w:rPr>
              <w:t>Все зоны и участки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C6B" w:rsidRDefault="00751C6B" w:rsidP="00751C6B">
            <w:pPr>
              <w:pStyle w:val="a7"/>
              <w:framePr w:w="10598" w:h="4709" w:wrap="none" w:vAnchor="page" w:hAnchor="page" w:x="1086" w:y="7659"/>
              <w:spacing w:after="0"/>
            </w:pPr>
            <w:r>
              <w:t>Индивидуальное решение с TCP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51C6B" w:rsidRDefault="00751C6B" w:rsidP="00751C6B">
            <w:pPr>
              <w:pStyle w:val="a7"/>
              <w:framePr w:w="10598" w:h="4709" w:wrap="none" w:vAnchor="page" w:hAnchor="page" w:x="1086" w:y="7659"/>
              <w:spacing w:after="0"/>
            </w:pPr>
          </w:p>
        </w:tc>
      </w:tr>
    </w:tbl>
    <w:p w:rsidR="005A41D0" w:rsidRDefault="000A4BC5">
      <w:pPr>
        <w:pStyle w:val="a5"/>
        <w:framePr w:w="10205" w:h="509" w:hRule="exact" w:wrap="none" w:vAnchor="page" w:hAnchor="page" w:x="1211" w:y="12397"/>
      </w:pPr>
      <w:r>
        <w:t>*- указывается один из вариантов (видов работ): не нуждается; ремонт (текущий, капитальный); индивидуальное решение с TCP; технические решения невозможны - организация альтернативной формы обслуживания</w:t>
      </w:r>
    </w:p>
    <w:p w:rsidR="005A41D0" w:rsidRDefault="000A4BC5">
      <w:pPr>
        <w:pStyle w:val="1"/>
        <w:framePr w:w="10598" w:h="2227" w:hRule="exact" w:wrap="none" w:vAnchor="page" w:hAnchor="page" w:x="1086" w:y="13280"/>
        <w:tabs>
          <w:tab w:val="left" w:leader="underscore" w:pos="9682"/>
        </w:tabs>
        <w:spacing w:after="0"/>
      </w:pPr>
      <w:r>
        <w:rPr>
          <w:u w:val="none"/>
        </w:rPr>
        <w:t xml:space="preserve">4.2. Период проведения работ </w:t>
      </w:r>
      <w:r>
        <w:t>2021</w:t>
      </w:r>
      <w:r>
        <w:rPr>
          <w:u w:val="none"/>
        </w:rPr>
        <w:tab/>
      </w:r>
    </w:p>
    <w:p w:rsidR="005A41D0" w:rsidRDefault="000A4BC5">
      <w:pPr>
        <w:pStyle w:val="1"/>
        <w:framePr w:w="10598" w:h="2227" w:hRule="exact" w:wrap="none" w:vAnchor="page" w:hAnchor="page" w:x="1086" w:y="13280"/>
        <w:spacing w:after="0"/>
      </w:pPr>
      <w:r>
        <w:rPr>
          <w:u w:val="none"/>
        </w:rPr>
        <w:t xml:space="preserve">в рамках исполнения </w:t>
      </w:r>
      <w:r>
        <w:t>Государственной программы РД «Доступная среда» на 2019-2023г.</w:t>
      </w:r>
    </w:p>
    <w:p w:rsidR="005A41D0" w:rsidRDefault="000A4BC5">
      <w:pPr>
        <w:pStyle w:val="1"/>
        <w:framePr w:w="10598" w:h="2227" w:hRule="exact" w:wrap="none" w:vAnchor="page" w:hAnchor="page" w:x="1086" w:y="13280"/>
        <w:spacing w:after="0" w:line="228" w:lineRule="auto"/>
        <w:ind w:left="3660"/>
      </w:pPr>
      <w:r>
        <w:rPr>
          <w:i/>
          <w:iCs/>
          <w:u w:val="none"/>
        </w:rPr>
        <w:t xml:space="preserve">(указывается наименование документа: </w:t>
      </w:r>
      <w:r>
        <w:rPr>
          <w:i/>
          <w:iCs/>
        </w:rPr>
        <w:t>программы,</w:t>
      </w:r>
      <w:r>
        <w:rPr>
          <w:i/>
          <w:iCs/>
          <w:u w:val="none"/>
        </w:rPr>
        <w:t xml:space="preserve"> плана)</w:t>
      </w:r>
    </w:p>
    <w:p w:rsidR="005A41D0" w:rsidRDefault="000A4BC5">
      <w:pPr>
        <w:pStyle w:val="1"/>
        <w:framePr w:w="10598" w:h="2227" w:hRule="exact" w:wrap="none" w:vAnchor="page" w:hAnchor="page" w:x="1086" w:y="13280"/>
        <w:spacing w:after="0" w:line="209" w:lineRule="auto"/>
        <w:jc w:val="center"/>
      </w:pPr>
      <w:r>
        <w:rPr>
          <w:u w:val="none"/>
        </w:rPr>
        <w:t>•</w:t>
      </w:r>
    </w:p>
    <w:p w:rsidR="005A41D0" w:rsidRDefault="000A4BC5">
      <w:pPr>
        <w:pStyle w:val="1"/>
        <w:framePr w:w="10598" w:h="2227" w:hRule="exact" w:wrap="none" w:vAnchor="page" w:hAnchor="page" w:x="1086" w:y="13280"/>
        <w:pBdr>
          <w:bottom w:val="single" w:sz="4" w:space="0" w:color="auto"/>
        </w:pBdr>
        <w:spacing w:after="0"/>
        <w:ind w:firstLine="140"/>
      </w:pPr>
      <w:r>
        <w:rPr>
          <w:u w:val="none"/>
        </w:rPr>
        <w:t xml:space="preserve">4.3 Ожидаемый результат (по состоянию доступности) после выполнения работ по адаптации </w:t>
      </w:r>
      <w:r>
        <w:t>Состояние доступности основной структурно - функциональной зоны «Вход в здание» изменяется с ДУ до ДП - В; «Территория, прилегающая к зданию» с ДУ до ДП - В; путь движения внутри здания с ДУ до ДП - В; санитарно - гигиенические помещения с ДУ до ДП -</w:t>
      </w:r>
    </w:p>
    <w:p w:rsidR="005A41D0" w:rsidRDefault="005A41D0">
      <w:pPr>
        <w:spacing w:line="1" w:lineRule="exact"/>
      </w:pPr>
    </w:p>
    <w:sectPr w:rsidR="005A41D0" w:rsidSect="005A41D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171" w:rsidRDefault="00475171" w:rsidP="005A41D0">
      <w:r>
        <w:separator/>
      </w:r>
    </w:p>
  </w:endnote>
  <w:endnote w:type="continuationSeparator" w:id="1">
    <w:p w:rsidR="00475171" w:rsidRDefault="00475171" w:rsidP="005A4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171" w:rsidRDefault="00475171"/>
  </w:footnote>
  <w:footnote w:type="continuationSeparator" w:id="1">
    <w:p w:rsidR="00475171" w:rsidRDefault="004751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5A41D0"/>
    <w:rsid w:val="000A4BC5"/>
    <w:rsid w:val="00475171"/>
    <w:rsid w:val="005A41D0"/>
    <w:rsid w:val="00751C6B"/>
    <w:rsid w:val="00C44F9F"/>
    <w:rsid w:val="00D41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A41D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A4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5A4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5A4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5A4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single"/>
      <w:shd w:val="clear" w:color="auto" w:fill="auto"/>
    </w:rPr>
  </w:style>
  <w:style w:type="paragraph" w:customStyle="1" w:styleId="20">
    <w:name w:val="Основной текст (2)"/>
    <w:basedOn w:val="a"/>
    <w:link w:val="2"/>
    <w:rsid w:val="005A41D0"/>
    <w:pPr>
      <w:spacing w:after="260" w:line="257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3"/>
    <w:rsid w:val="005A41D0"/>
    <w:pPr>
      <w:spacing w:after="260"/>
    </w:pPr>
    <w:rPr>
      <w:rFonts w:ascii="Times New Roman" w:eastAsia="Times New Roman" w:hAnsi="Times New Roman" w:cs="Times New Roman"/>
      <w:u w:val="single"/>
    </w:rPr>
  </w:style>
  <w:style w:type="paragraph" w:customStyle="1" w:styleId="a5">
    <w:name w:val="Подпись к таблице"/>
    <w:basedOn w:val="a"/>
    <w:link w:val="a4"/>
    <w:rsid w:val="005A41D0"/>
    <w:pPr>
      <w:spacing w:line="26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Другое"/>
    <w:basedOn w:val="a"/>
    <w:link w:val="a6"/>
    <w:rsid w:val="005A41D0"/>
    <w:pPr>
      <w:spacing w:after="260"/>
    </w:pPr>
    <w:rPr>
      <w:rFonts w:ascii="Times New Roman" w:eastAsia="Times New Roman" w:hAnsi="Times New Roman" w:cs="Times New Roman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421</Words>
  <Characters>2406</Characters>
  <Application>Microsoft Office Word</Application>
  <DocSecurity>0</DocSecurity>
  <Lines>20</Lines>
  <Paragraphs>5</Paragraphs>
  <ScaleCrop>false</ScaleCrop>
  <Company>MultiDVD Team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2021-03-03T06:19:00Z</cp:lastPrinted>
  <dcterms:created xsi:type="dcterms:W3CDTF">2021-03-02T11:48:00Z</dcterms:created>
  <dcterms:modified xsi:type="dcterms:W3CDTF">2021-03-03T06:19:00Z</dcterms:modified>
</cp:coreProperties>
</file>